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084" w:rsidRPr="008B5757" w:rsidRDefault="00991084" w:rsidP="00991084">
      <w:pPr>
        <w:jc w:val="center"/>
        <w:rPr>
          <w:b/>
          <w:u w:val="single"/>
        </w:rPr>
      </w:pPr>
      <w:r w:rsidRPr="008B5757">
        <w:rPr>
          <w:b/>
          <w:u w:val="single"/>
        </w:rPr>
        <w:t>Learning Agreement Checklist</w:t>
      </w:r>
    </w:p>
    <w:p w:rsidR="00991084" w:rsidRPr="008B5757" w:rsidRDefault="00991084" w:rsidP="008B5757">
      <w:pPr>
        <w:jc w:val="both"/>
      </w:pPr>
      <w:r w:rsidRPr="008B5757">
        <w:t xml:space="preserve">Managers are </w:t>
      </w:r>
      <w:r w:rsidR="00375D79">
        <w:t>required to discuss</w:t>
      </w:r>
      <w:r w:rsidRPr="008B5757">
        <w:t xml:space="preserve"> </w:t>
      </w:r>
      <w:r w:rsidR="00375D79">
        <w:t xml:space="preserve">the following </w:t>
      </w:r>
      <w:r w:rsidRPr="008B5757">
        <w:t xml:space="preserve">with the prospective learner </w:t>
      </w:r>
      <w:r w:rsidR="00375D79" w:rsidRPr="00375D79">
        <w:t xml:space="preserve">to jointly agree the terms and conditions of the learning agreement before staff </w:t>
      </w:r>
      <w:r w:rsidR="00375D79">
        <w:t>commence their learning program</w:t>
      </w:r>
      <w:r w:rsidRPr="008B5757">
        <w:t>:-</w:t>
      </w:r>
    </w:p>
    <w:tbl>
      <w:tblPr>
        <w:tblStyle w:val="TableGrid"/>
        <w:tblW w:w="10490" w:type="dxa"/>
        <w:tblInd w:w="108" w:type="dxa"/>
        <w:tblLook w:val="04A0" w:firstRow="1" w:lastRow="0" w:firstColumn="1" w:lastColumn="0" w:noHBand="0" w:noVBand="1"/>
      </w:tblPr>
      <w:tblGrid>
        <w:gridCol w:w="8364"/>
        <w:gridCol w:w="1559"/>
        <w:gridCol w:w="567"/>
      </w:tblGrid>
      <w:tr w:rsidR="00040705" w:rsidRPr="00040705" w:rsidTr="00694246">
        <w:tc>
          <w:tcPr>
            <w:tcW w:w="8364" w:type="dxa"/>
          </w:tcPr>
          <w:p w:rsidR="00040705" w:rsidRPr="00040705" w:rsidRDefault="00040705" w:rsidP="00625E89">
            <w:pPr>
              <w:jc w:val="both"/>
              <w:rPr>
                <w:sz w:val="20"/>
                <w:szCs w:val="20"/>
              </w:rPr>
            </w:pPr>
          </w:p>
        </w:tc>
        <w:tc>
          <w:tcPr>
            <w:tcW w:w="2126" w:type="dxa"/>
            <w:gridSpan w:val="2"/>
          </w:tcPr>
          <w:p w:rsidR="00040705" w:rsidRPr="00375D79" w:rsidRDefault="00375D79" w:rsidP="00625E89">
            <w:pPr>
              <w:jc w:val="both"/>
              <w:rPr>
                <w:sz w:val="18"/>
                <w:szCs w:val="18"/>
              </w:rPr>
            </w:pPr>
            <w:r w:rsidRPr="00375D79">
              <w:rPr>
                <w:sz w:val="18"/>
                <w:szCs w:val="18"/>
              </w:rPr>
              <w:t>Discussed &amp; Understood</w:t>
            </w:r>
            <w:r w:rsidR="00040705" w:rsidRPr="00375D79">
              <w:rPr>
                <w:sz w:val="18"/>
                <w:szCs w:val="18"/>
              </w:rPr>
              <w:t xml:space="preserve"> </w:t>
            </w:r>
          </w:p>
          <w:p w:rsidR="00040705" w:rsidRPr="00375D79" w:rsidRDefault="00040705" w:rsidP="00625E89">
            <w:pPr>
              <w:jc w:val="both"/>
              <w:rPr>
                <w:sz w:val="18"/>
                <w:szCs w:val="18"/>
              </w:rPr>
            </w:pPr>
            <w:r w:rsidRPr="00375D79">
              <w:rPr>
                <w:sz w:val="18"/>
                <w:szCs w:val="18"/>
              </w:rPr>
              <w:t>Yes/No/Not Applicable</w:t>
            </w:r>
          </w:p>
        </w:tc>
      </w:tr>
      <w:tr w:rsidR="00040705" w:rsidRPr="00040705" w:rsidTr="00694246">
        <w:tc>
          <w:tcPr>
            <w:tcW w:w="8364" w:type="dxa"/>
          </w:tcPr>
          <w:p w:rsidR="001F7344" w:rsidRPr="00040705" w:rsidRDefault="00E87891" w:rsidP="00E87891">
            <w:pPr>
              <w:jc w:val="both"/>
            </w:pPr>
            <w:r>
              <w:t xml:space="preserve">Outline of </w:t>
            </w:r>
            <w:r w:rsidR="001F7344" w:rsidRPr="00040705">
              <w:t xml:space="preserve">agreement made and arrangements made for the </w:t>
            </w:r>
            <w:r w:rsidR="001F7344">
              <w:t>r</w:t>
            </w:r>
            <w:r w:rsidR="00040705" w:rsidRPr="00040705">
              <w:t>eimbursement of subsistence, travel, mileage expenses, lease cars, training costs and any other expenses or allowances</w:t>
            </w:r>
          </w:p>
        </w:tc>
        <w:tc>
          <w:tcPr>
            <w:tcW w:w="2126" w:type="dxa"/>
            <w:gridSpan w:val="2"/>
          </w:tcPr>
          <w:p w:rsidR="00040705" w:rsidRPr="00040705" w:rsidRDefault="00040705" w:rsidP="00625E89">
            <w:pPr>
              <w:jc w:val="both"/>
            </w:pPr>
          </w:p>
        </w:tc>
      </w:tr>
      <w:tr w:rsidR="00040705" w:rsidRPr="00040705" w:rsidTr="00694246">
        <w:tc>
          <w:tcPr>
            <w:tcW w:w="8364" w:type="dxa"/>
          </w:tcPr>
          <w:p w:rsidR="00040705" w:rsidRPr="00040705" w:rsidRDefault="00040705" w:rsidP="00625E89">
            <w:pPr>
              <w:jc w:val="both"/>
            </w:pPr>
            <w:r w:rsidRPr="00040705">
              <w:t>Will be in accordance with Agenda for Change, completion of the T1 Form and in line with discussion and agreements of the organisation involving Senior Human Resource Business Partners and Senior Service Line Managers.</w:t>
            </w:r>
          </w:p>
        </w:tc>
        <w:tc>
          <w:tcPr>
            <w:tcW w:w="2126" w:type="dxa"/>
            <w:gridSpan w:val="2"/>
          </w:tcPr>
          <w:p w:rsidR="00040705" w:rsidRPr="00040705" w:rsidRDefault="00040705" w:rsidP="00625E89">
            <w:pPr>
              <w:jc w:val="both"/>
            </w:pPr>
          </w:p>
        </w:tc>
      </w:tr>
      <w:tr w:rsidR="00040705" w:rsidRPr="00040705" w:rsidTr="00694246">
        <w:tc>
          <w:tcPr>
            <w:tcW w:w="8364" w:type="dxa"/>
          </w:tcPr>
          <w:p w:rsidR="001F7344" w:rsidRDefault="00040705" w:rsidP="00694246">
            <w:pPr>
              <w:jc w:val="both"/>
            </w:pPr>
            <w:r w:rsidRPr="00040705">
              <w:t>Prior authorisation should be obtained from the Service Manager before the prospective learner incurs any expenses</w:t>
            </w:r>
          </w:p>
          <w:p w:rsidR="00694246" w:rsidRPr="00040705" w:rsidRDefault="00694246" w:rsidP="00694246">
            <w:pPr>
              <w:jc w:val="both"/>
            </w:pPr>
          </w:p>
        </w:tc>
        <w:tc>
          <w:tcPr>
            <w:tcW w:w="2126" w:type="dxa"/>
            <w:gridSpan w:val="2"/>
          </w:tcPr>
          <w:p w:rsidR="00040705" w:rsidRPr="00040705" w:rsidRDefault="00040705" w:rsidP="00625E89">
            <w:pPr>
              <w:jc w:val="both"/>
            </w:pPr>
          </w:p>
        </w:tc>
      </w:tr>
      <w:tr w:rsidR="00040705" w:rsidRPr="00040705" w:rsidTr="00694246">
        <w:tc>
          <w:tcPr>
            <w:tcW w:w="8364" w:type="dxa"/>
          </w:tcPr>
          <w:p w:rsidR="00040705" w:rsidRDefault="00040705" w:rsidP="00625E89">
            <w:pPr>
              <w:jc w:val="both"/>
            </w:pPr>
            <w:r w:rsidRPr="00040705">
              <w:t>An EF2 should be completed to reflect changes if appropriate</w:t>
            </w:r>
          </w:p>
          <w:p w:rsidR="00025EDC" w:rsidRPr="00040705" w:rsidRDefault="00025EDC" w:rsidP="00625E89">
            <w:pPr>
              <w:jc w:val="both"/>
            </w:pPr>
          </w:p>
        </w:tc>
        <w:tc>
          <w:tcPr>
            <w:tcW w:w="2126" w:type="dxa"/>
            <w:gridSpan w:val="2"/>
          </w:tcPr>
          <w:p w:rsidR="00040705" w:rsidRPr="00040705" w:rsidRDefault="00040705" w:rsidP="00625E89">
            <w:pPr>
              <w:jc w:val="both"/>
            </w:pPr>
          </w:p>
        </w:tc>
      </w:tr>
      <w:tr w:rsidR="00694246" w:rsidRPr="00040705" w:rsidTr="00694246">
        <w:tc>
          <w:tcPr>
            <w:tcW w:w="8364" w:type="dxa"/>
          </w:tcPr>
          <w:p w:rsidR="00694246" w:rsidRPr="00040705" w:rsidRDefault="00694246" w:rsidP="00874F6F">
            <w:pPr>
              <w:jc w:val="both"/>
            </w:pPr>
            <w:r>
              <w:t>Inform the learner that if applying for a course that requires an up to date enhanced DBS the learner will be liable for any cost involved (an EF2 should be completed and sent to Workforce Services to request a link)</w:t>
            </w:r>
          </w:p>
        </w:tc>
        <w:tc>
          <w:tcPr>
            <w:tcW w:w="2126" w:type="dxa"/>
            <w:gridSpan w:val="2"/>
          </w:tcPr>
          <w:p w:rsidR="00694246" w:rsidRPr="00040705" w:rsidRDefault="00694246" w:rsidP="00874F6F">
            <w:pPr>
              <w:jc w:val="both"/>
            </w:pPr>
          </w:p>
        </w:tc>
      </w:tr>
      <w:tr w:rsidR="00040705" w:rsidRPr="00040705" w:rsidTr="00694246">
        <w:tc>
          <w:tcPr>
            <w:tcW w:w="8364" w:type="dxa"/>
          </w:tcPr>
          <w:p w:rsidR="001F7344" w:rsidRPr="00040705" w:rsidRDefault="00040705" w:rsidP="00694246">
            <w:pPr>
              <w:jc w:val="both"/>
            </w:pPr>
            <w:r w:rsidRPr="00040705">
              <w:t>Agree with the learner any need for change of base and ensure there is an understanding between managers and learners of the requirements for placements outside of LCHS.</w:t>
            </w:r>
          </w:p>
        </w:tc>
        <w:tc>
          <w:tcPr>
            <w:tcW w:w="2126" w:type="dxa"/>
            <w:gridSpan w:val="2"/>
          </w:tcPr>
          <w:p w:rsidR="00040705" w:rsidRPr="00040705" w:rsidRDefault="00040705" w:rsidP="00625E89">
            <w:pPr>
              <w:jc w:val="both"/>
            </w:pPr>
          </w:p>
        </w:tc>
      </w:tr>
      <w:tr w:rsidR="00040705" w:rsidRPr="00040705" w:rsidTr="00694246">
        <w:tc>
          <w:tcPr>
            <w:tcW w:w="8364" w:type="dxa"/>
          </w:tcPr>
          <w:p w:rsidR="00040705" w:rsidRPr="00040705" w:rsidRDefault="00040705" w:rsidP="00625E89">
            <w:pPr>
              <w:jc w:val="both"/>
            </w:pPr>
            <w:r w:rsidRPr="00040705">
              <w:t>Managers and learners will have an understanding for the requirements to attend set days in university or college in accordance with the learning and development programme.  Discussion to include substantive contract hours and supernumerary hours.</w:t>
            </w:r>
          </w:p>
        </w:tc>
        <w:tc>
          <w:tcPr>
            <w:tcW w:w="2126" w:type="dxa"/>
            <w:gridSpan w:val="2"/>
          </w:tcPr>
          <w:p w:rsidR="00040705" w:rsidRPr="00040705" w:rsidRDefault="00040705" w:rsidP="00625E89">
            <w:pPr>
              <w:jc w:val="both"/>
            </w:pPr>
          </w:p>
        </w:tc>
      </w:tr>
      <w:tr w:rsidR="00040705" w:rsidRPr="00040705" w:rsidTr="00694246">
        <w:tc>
          <w:tcPr>
            <w:tcW w:w="8364" w:type="dxa"/>
          </w:tcPr>
          <w:p w:rsidR="00040705" w:rsidRPr="00040705" w:rsidRDefault="00040705" w:rsidP="00625E89">
            <w:pPr>
              <w:jc w:val="both"/>
            </w:pPr>
            <w:r w:rsidRPr="00040705">
              <w:t>20%</w:t>
            </w:r>
            <w:r w:rsidR="001F7344">
              <w:t xml:space="preserve"> off the job agreed and signed Apprenticeship Commitment F</w:t>
            </w:r>
            <w:r w:rsidRPr="00040705">
              <w:t>orm completed and submitted to the Education Team Apprentice Centre Administrator.  (This is mandated by EFSA as the employer is drawing down Government apprenticeship Levy)</w:t>
            </w:r>
          </w:p>
        </w:tc>
        <w:tc>
          <w:tcPr>
            <w:tcW w:w="2126" w:type="dxa"/>
            <w:gridSpan w:val="2"/>
          </w:tcPr>
          <w:p w:rsidR="00040705" w:rsidRPr="00040705" w:rsidRDefault="00040705" w:rsidP="00625E89">
            <w:pPr>
              <w:jc w:val="both"/>
            </w:pPr>
          </w:p>
        </w:tc>
      </w:tr>
      <w:tr w:rsidR="00040705" w:rsidRPr="00040705" w:rsidTr="00694246">
        <w:tc>
          <w:tcPr>
            <w:tcW w:w="8364" w:type="dxa"/>
          </w:tcPr>
          <w:p w:rsidR="00040705" w:rsidRPr="00040705" w:rsidRDefault="00040705" w:rsidP="00625E89">
            <w:pPr>
              <w:jc w:val="both"/>
            </w:pPr>
            <w:r w:rsidRPr="00040705">
              <w:t>Discussion with learner regarding agreement to remain with the host organisation upon completion of training for a minimum of 2 years unless the host organisation has agreed otherwise.  Manager will maintain contact and apprise employee of any up and coming vacancies.</w:t>
            </w:r>
          </w:p>
        </w:tc>
        <w:tc>
          <w:tcPr>
            <w:tcW w:w="2126" w:type="dxa"/>
            <w:gridSpan w:val="2"/>
          </w:tcPr>
          <w:p w:rsidR="00040705" w:rsidRPr="00040705" w:rsidRDefault="00040705" w:rsidP="00625E89">
            <w:pPr>
              <w:jc w:val="both"/>
            </w:pPr>
          </w:p>
        </w:tc>
      </w:tr>
      <w:tr w:rsidR="00040705" w:rsidRPr="00040705" w:rsidTr="00694246">
        <w:tc>
          <w:tcPr>
            <w:tcW w:w="8364" w:type="dxa"/>
          </w:tcPr>
          <w:p w:rsidR="00040705" w:rsidRPr="00040705" w:rsidRDefault="00040705" w:rsidP="00625E89">
            <w:pPr>
              <w:jc w:val="both"/>
            </w:pPr>
            <w:r w:rsidRPr="00040705">
              <w:t>Discussion with learner regarding agreement that in the event of an employee leaving prior to the completion of the course, or prior to 2 years post qualification, they will be required to repay any costs that are outside of any monies provided through levy or HEE funds which will be agreed and settled between the learner and the organisation.</w:t>
            </w:r>
          </w:p>
        </w:tc>
        <w:tc>
          <w:tcPr>
            <w:tcW w:w="2126" w:type="dxa"/>
            <w:gridSpan w:val="2"/>
          </w:tcPr>
          <w:p w:rsidR="00040705" w:rsidRPr="00040705" w:rsidRDefault="00040705" w:rsidP="00625E89">
            <w:pPr>
              <w:jc w:val="both"/>
            </w:pPr>
          </w:p>
        </w:tc>
      </w:tr>
      <w:tr w:rsidR="00040705" w:rsidRPr="00040705" w:rsidTr="00694246">
        <w:tc>
          <w:tcPr>
            <w:tcW w:w="8364" w:type="dxa"/>
          </w:tcPr>
          <w:p w:rsidR="00040705" w:rsidRDefault="00040705" w:rsidP="00625E89">
            <w:pPr>
              <w:jc w:val="both"/>
            </w:pPr>
            <w:r w:rsidRPr="00040705">
              <w:t>Discussed mentor allocation arrangements</w:t>
            </w:r>
          </w:p>
          <w:p w:rsidR="00025EDC" w:rsidRPr="00040705" w:rsidRDefault="00025EDC" w:rsidP="00625E89">
            <w:pPr>
              <w:jc w:val="both"/>
            </w:pPr>
          </w:p>
        </w:tc>
        <w:tc>
          <w:tcPr>
            <w:tcW w:w="2126" w:type="dxa"/>
            <w:gridSpan w:val="2"/>
          </w:tcPr>
          <w:p w:rsidR="00040705" w:rsidRPr="00040705" w:rsidRDefault="00040705" w:rsidP="00625E89">
            <w:pPr>
              <w:jc w:val="both"/>
            </w:pPr>
          </w:p>
        </w:tc>
      </w:tr>
      <w:tr w:rsidR="00040705" w:rsidRPr="00040705" w:rsidTr="00694246">
        <w:tc>
          <w:tcPr>
            <w:tcW w:w="8364" w:type="dxa"/>
          </w:tcPr>
          <w:p w:rsidR="00040705" w:rsidRPr="00031D6B" w:rsidRDefault="00040705" w:rsidP="00625E89">
            <w:pPr>
              <w:jc w:val="both"/>
            </w:pPr>
            <w:r w:rsidRPr="00040705">
              <w:t>Annual leave arrangements (</w:t>
            </w:r>
            <w:proofErr w:type="spellStart"/>
            <w:r w:rsidRPr="00040705">
              <w:t>eg</w:t>
            </w:r>
            <w:proofErr w:type="spellEnd"/>
            <w:r w:rsidRPr="00040705">
              <w:t xml:space="preserve"> to be taken as per learning programme to meet registratio</w:t>
            </w:r>
            <w:r w:rsidR="00031D6B">
              <w:t xml:space="preserve">n body study hours requirements however </w:t>
            </w:r>
            <w:r w:rsidR="00031D6B">
              <w:rPr>
                <w:b/>
              </w:rPr>
              <w:t>t</w:t>
            </w:r>
            <w:r w:rsidR="00031D6B" w:rsidRPr="00031D6B">
              <w:rPr>
                <w:b/>
              </w:rPr>
              <w:t xml:space="preserve">his must not compromise the service </w:t>
            </w:r>
            <w:proofErr w:type="spellStart"/>
            <w:r w:rsidR="00031D6B" w:rsidRPr="00031D6B">
              <w:rPr>
                <w:b/>
              </w:rPr>
              <w:t>ie</w:t>
            </w:r>
            <w:proofErr w:type="spellEnd"/>
            <w:r w:rsidR="00031D6B" w:rsidRPr="00031D6B">
              <w:rPr>
                <w:b/>
              </w:rPr>
              <w:t xml:space="preserve"> safe staffing</w:t>
            </w:r>
            <w:r w:rsidR="00031D6B">
              <w:t>)</w:t>
            </w:r>
          </w:p>
          <w:p w:rsidR="00025EDC" w:rsidRPr="00040705" w:rsidRDefault="00025EDC" w:rsidP="00625E89">
            <w:pPr>
              <w:jc w:val="both"/>
            </w:pPr>
          </w:p>
        </w:tc>
        <w:tc>
          <w:tcPr>
            <w:tcW w:w="2126" w:type="dxa"/>
            <w:gridSpan w:val="2"/>
          </w:tcPr>
          <w:p w:rsidR="00040705" w:rsidRPr="00040705" w:rsidRDefault="00040705" w:rsidP="00625E89">
            <w:pPr>
              <w:jc w:val="both"/>
            </w:pPr>
          </w:p>
        </w:tc>
      </w:tr>
      <w:tr w:rsidR="00040705" w:rsidRPr="00040705" w:rsidTr="00694246">
        <w:tc>
          <w:tcPr>
            <w:tcW w:w="8364" w:type="dxa"/>
          </w:tcPr>
          <w:p w:rsidR="00040705" w:rsidRDefault="00040705" w:rsidP="00625E89">
            <w:pPr>
              <w:jc w:val="both"/>
            </w:pPr>
            <w:r w:rsidRPr="00040705">
              <w:t>Informing education provider and apprenticeship centre of any sickness that might impact on the completion of the programme study hours.  Education team can advise.</w:t>
            </w:r>
          </w:p>
          <w:p w:rsidR="00025EDC" w:rsidRPr="00040705" w:rsidRDefault="00025EDC" w:rsidP="00625E89">
            <w:pPr>
              <w:jc w:val="both"/>
            </w:pPr>
          </w:p>
        </w:tc>
        <w:tc>
          <w:tcPr>
            <w:tcW w:w="2126" w:type="dxa"/>
            <w:gridSpan w:val="2"/>
          </w:tcPr>
          <w:p w:rsidR="00040705" w:rsidRPr="00040705" w:rsidRDefault="00040705" w:rsidP="00625E89">
            <w:pPr>
              <w:jc w:val="both"/>
            </w:pPr>
          </w:p>
        </w:tc>
      </w:tr>
      <w:tr w:rsidR="00040705" w:rsidRPr="00040705" w:rsidTr="00694246">
        <w:tc>
          <w:tcPr>
            <w:tcW w:w="8364" w:type="dxa"/>
          </w:tcPr>
          <w:p w:rsidR="00040705" w:rsidRDefault="00040705" w:rsidP="00625E89">
            <w:pPr>
              <w:jc w:val="both"/>
            </w:pPr>
            <w:r w:rsidRPr="00040705">
              <w:t>Salary during learning (managers responsible for salary agreement and payment during apprenticeship – note no backfill funding available for apprenticeships)</w:t>
            </w:r>
          </w:p>
          <w:p w:rsidR="00025EDC" w:rsidRPr="00040705" w:rsidRDefault="00025EDC" w:rsidP="00625E89">
            <w:pPr>
              <w:jc w:val="both"/>
            </w:pPr>
          </w:p>
        </w:tc>
        <w:tc>
          <w:tcPr>
            <w:tcW w:w="2126" w:type="dxa"/>
            <w:gridSpan w:val="2"/>
          </w:tcPr>
          <w:p w:rsidR="00040705" w:rsidRPr="00040705" w:rsidRDefault="00040705" w:rsidP="00625E89">
            <w:pPr>
              <w:jc w:val="both"/>
            </w:pPr>
          </w:p>
        </w:tc>
      </w:tr>
      <w:tr w:rsidR="00040705" w:rsidRPr="00040705" w:rsidTr="00694246">
        <w:tc>
          <w:tcPr>
            <w:tcW w:w="8364" w:type="dxa"/>
          </w:tcPr>
          <w:p w:rsidR="00040705" w:rsidRDefault="00040705" w:rsidP="00625E89">
            <w:pPr>
              <w:jc w:val="both"/>
            </w:pPr>
            <w:r w:rsidRPr="00040705">
              <w:t>T1 form completed and arrangements made to discuss sharing of learning and best practice from learning and development post course completion.</w:t>
            </w:r>
          </w:p>
          <w:p w:rsidR="00025EDC" w:rsidRPr="00040705" w:rsidRDefault="00025EDC" w:rsidP="00625E89">
            <w:pPr>
              <w:jc w:val="both"/>
            </w:pPr>
          </w:p>
        </w:tc>
        <w:tc>
          <w:tcPr>
            <w:tcW w:w="2126" w:type="dxa"/>
            <w:gridSpan w:val="2"/>
          </w:tcPr>
          <w:p w:rsidR="00040705" w:rsidRPr="00040705" w:rsidRDefault="00040705" w:rsidP="00625E89">
            <w:pPr>
              <w:jc w:val="both"/>
            </w:pPr>
          </w:p>
        </w:tc>
      </w:tr>
      <w:tr w:rsidR="00FB4D05" w:rsidTr="00694246">
        <w:trPr>
          <w:gridAfter w:val="1"/>
          <w:wAfter w:w="567" w:type="dxa"/>
        </w:trPr>
        <w:tc>
          <w:tcPr>
            <w:tcW w:w="9923" w:type="dxa"/>
            <w:gridSpan w:val="2"/>
          </w:tcPr>
          <w:p w:rsidR="00FB4D05" w:rsidRDefault="00FB4D05" w:rsidP="008B5757">
            <w:pPr>
              <w:pStyle w:val="ListParagraph"/>
              <w:ind w:left="0"/>
            </w:pPr>
            <w:r>
              <w:lastRenderedPageBreak/>
              <w:t>Summary of Discussion</w:t>
            </w:r>
          </w:p>
        </w:tc>
      </w:tr>
      <w:tr w:rsidR="00FB4D05" w:rsidTr="00694246">
        <w:trPr>
          <w:gridAfter w:val="1"/>
          <w:wAfter w:w="567" w:type="dxa"/>
        </w:trPr>
        <w:tc>
          <w:tcPr>
            <w:tcW w:w="9923" w:type="dxa"/>
            <w:gridSpan w:val="2"/>
          </w:tcPr>
          <w:p w:rsidR="00FB4D05" w:rsidRDefault="00FB4D05" w:rsidP="008B5757">
            <w:pPr>
              <w:pStyle w:val="ListParagraph"/>
              <w:ind w:left="0"/>
            </w:pPr>
          </w:p>
          <w:p w:rsidR="00FB4D05" w:rsidRDefault="00FB4D05" w:rsidP="008B5757">
            <w:pPr>
              <w:pStyle w:val="ListParagraph"/>
              <w:ind w:left="0"/>
            </w:pPr>
          </w:p>
          <w:p w:rsidR="00FB4D05" w:rsidRDefault="00FB4D05" w:rsidP="008B5757">
            <w:pPr>
              <w:pStyle w:val="ListParagraph"/>
              <w:ind w:left="0"/>
            </w:pPr>
          </w:p>
          <w:p w:rsidR="00FB4D05" w:rsidRDefault="00FB4D05" w:rsidP="008B5757">
            <w:pPr>
              <w:pStyle w:val="ListParagraph"/>
              <w:ind w:left="0"/>
            </w:pPr>
          </w:p>
          <w:p w:rsidR="00FB4D05" w:rsidRDefault="00FB4D05" w:rsidP="008B5757">
            <w:pPr>
              <w:pStyle w:val="ListParagraph"/>
              <w:ind w:left="0"/>
            </w:pPr>
          </w:p>
          <w:p w:rsidR="00FB4D05" w:rsidRDefault="00FB4D05" w:rsidP="008B5757">
            <w:pPr>
              <w:pStyle w:val="ListParagraph"/>
              <w:ind w:left="0"/>
            </w:pPr>
          </w:p>
          <w:p w:rsidR="00FB4D05" w:rsidRDefault="00FB4D05" w:rsidP="008B5757">
            <w:pPr>
              <w:pStyle w:val="ListParagraph"/>
              <w:ind w:left="0"/>
            </w:pPr>
          </w:p>
          <w:p w:rsidR="00FB4D05" w:rsidRDefault="00FB4D05" w:rsidP="008B5757">
            <w:pPr>
              <w:pStyle w:val="ListParagraph"/>
              <w:ind w:left="0"/>
            </w:pPr>
          </w:p>
          <w:p w:rsidR="00FB4D05" w:rsidRDefault="00FB4D05" w:rsidP="008B5757">
            <w:pPr>
              <w:pStyle w:val="ListParagraph"/>
              <w:ind w:left="0"/>
            </w:pPr>
          </w:p>
        </w:tc>
      </w:tr>
      <w:tr w:rsidR="00FB4D05" w:rsidTr="00694246">
        <w:trPr>
          <w:gridAfter w:val="1"/>
          <w:wAfter w:w="567" w:type="dxa"/>
        </w:trPr>
        <w:tc>
          <w:tcPr>
            <w:tcW w:w="9923" w:type="dxa"/>
            <w:gridSpan w:val="2"/>
          </w:tcPr>
          <w:p w:rsidR="00FB4D05" w:rsidRDefault="00FB4D05" w:rsidP="008B5757">
            <w:pPr>
              <w:pStyle w:val="ListParagraph"/>
              <w:ind w:left="0"/>
            </w:pPr>
            <w:r>
              <w:t xml:space="preserve">Discussion </w:t>
            </w:r>
            <w:r w:rsidR="001F7344">
              <w:t xml:space="preserve">regarding </w:t>
            </w:r>
            <w:r>
              <w:t>Aims and Objectives or Learning and Completion Aligned to Organisational Strategic Development Plans – Expectations on Completion</w:t>
            </w:r>
          </w:p>
        </w:tc>
      </w:tr>
      <w:tr w:rsidR="00FB4D05" w:rsidTr="00694246">
        <w:trPr>
          <w:gridAfter w:val="1"/>
          <w:wAfter w:w="567" w:type="dxa"/>
        </w:trPr>
        <w:tc>
          <w:tcPr>
            <w:tcW w:w="9923" w:type="dxa"/>
            <w:gridSpan w:val="2"/>
          </w:tcPr>
          <w:p w:rsidR="00FB4D05" w:rsidRDefault="00FB4D05" w:rsidP="008B5757">
            <w:pPr>
              <w:pStyle w:val="ListParagraph"/>
              <w:ind w:left="0"/>
            </w:pPr>
          </w:p>
          <w:p w:rsidR="00FB4D05" w:rsidRDefault="00FB4D05" w:rsidP="008B5757">
            <w:pPr>
              <w:pStyle w:val="ListParagraph"/>
              <w:ind w:left="0"/>
            </w:pPr>
          </w:p>
          <w:p w:rsidR="00FB4D05" w:rsidRDefault="00FB4D05" w:rsidP="008B5757">
            <w:pPr>
              <w:pStyle w:val="ListParagraph"/>
              <w:ind w:left="0"/>
            </w:pPr>
          </w:p>
          <w:p w:rsidR="00FB4D05" w:rsidRDefault="00FB4D05" w:rsidP="008B5757">
            <w:pPr>
              <w:pStyle w:val="ListParagraph"/>
              <w:ind w:left="0"/>
            </w:pPr>
          </w:p>
          <w:p w:rsidR="00FB4D05" w:rsidRDefault="00FB4D05" w:rsidP="008B5757">
            <w:pPr>
              <w:pStyle w:val="ListParagraph"/>
              <w:ind w:left="0"/>
            </w:pPr>
          </w:p>
          <w:p w:rsidR="00FB4D05" w:rsidRDefault="00FB4D05" w:rsidP="008B5757">
            <w:pPr>
              <w:pStyle w:val="ListParagraph"/>
              <w:ind w:left="0"/>
            </w:pPr>
          </w:p>
          <w:p w:rsidR="00FB4D05" w:rsidRDefault="00FB4D05" w:rsidP="008B5757">
            <w:pPr>
              <w:pStyle w:val="ListParagraph"/>
              <w:ind w:left="0"/>
            </w:pPr>
          </w:p>
          <w:p w:rsidR="00FB4D05" w:rsidRDefault="00FB4D05" w:rsidP="008B5757">
            <w:pPr>
              <w:pStyle w:val="ListParagraph"/>
              <w:ind w:left="0"/>
            </w:pPr>
          </w:p>
        </w:tc>
      </w:tr>
      <w:tr w:rsidR="00FB4D05" w:rsidTr="00694246">
        <w:trPr>
          <w:gridAfter w:val="1"/>
          <w:wAfter w:w="567" w:type="dxa"/>
        </w:trPr>
        <w:tc>
          <w:tcPr>
            <w:tcW w:w="9923" w:type="dxa"/>
            <w:gridSpan w:val="2"/>
          </w:tcPr>
          <w:p w:rsidR="00FB4D05" w:rsidRDefault="00FB4D05" w:rsidP="008B5757">
            <w:pPr>
              <w:pStyle w:val="ListParagraph"/>
              <w:ind w:left="0"/>
            </w:pPr>
            <w:r>
              <w:t>Course Final Evaluation:</w:t>
            </w:r>
            <w:r w:rsidR="002332D4">
              <w:t xml:space="preserve"> Impact for Learner and Service</w:t>
            </w:r>
          </w:p>
        </w:tc>
      </w:tr>
      <w:tr w:rsidR="00FB4D05" w:rsidTr="00694246">
        <w:trPr>
          <w:gridAfter w:val="1"/>
          <w:wAfter w:w="567" w:type="dxa"/>
        </w:trPr>
        <w:tc>
          <w:tcPr>
            <w:tcW w:w="9923" w:type="dxa"/>
            <w:gridSpan w:val="2"/>
          </w:tcPr>
          <w:p w:rsidR="00FB4D05" w:rsidRDefault="00FB4D05" w:rsidP="008B5757">
            <w:pPr>
              <w:pStyle w:val="ListParagraph"/>
              <w:ind w:left="0"/>
            </w:pPr>
          </w:p>
          <w:p w:rsidR="002332D4" w:rsidRDefault="002332D4" w:rsidP="008B5757">
            <w:pPr>
              <w:pStyle w:val="ListParagraph"/>
              <w:ind w:left="0"/>
            </w:pPr>
          </w:p>
          <w:p w:rsidR="002332D4" w:rsidRDefault="002332D4" w:rsidP="008B5757">
            <w:pPr>
              <w:pStyle w:val="ListParagraph"/>
              <w:ind w:left="0"/>
            </w:pPr>
          </w:p>
          <w:p w:rsidR="002332D4" w:rsidRDefault="002332D4" w:rsidP="008B5757">
            <w:pPr>
              <w:pStyle w:val="ListParagraph"/>
              <w:ind w:left="0"/>
            </w:pPr>
          </w:p>
          <w:p w:rsidR="002332D4" w:rsidRDefault="002332D4" w:rsidP="008B5757">
            <w:pPr>
              <w:pStyle w:val="ListParagraph"/>
              <w:ind w:left="0"/>
            </w:pPr>
          </w:p>
          <w:p w:rsidR="002332D4" w:rsidRDefault="002332D4" w:rsidP="008B5757">
            <w:pPr>
              <w:pStyle w:val="ListParagraph"/>
              <w:ind w:left="0"/>
            </w:pPr>
          </w:p>
          <w:p w:rsidR="002332D4" w:rsidRDefault="002332D4" w:rsidP="008B5757">
            <w:pPr>
              <w:pStyle w:val="ListParagraph"/>
              <w:ind w:left="0"/>
            </w:pPr>
          </w:p>
          <w:p w:rsidR="002332D4" w:rsidRDefault="002332D4" w:rsidP="008B5757">
            <w:pPr>
              <w:pStyle w:val="ListParagraph"/>
              <w:ind w:left="0"/>
            </w:pPr>
          </w:p>
          <w:p w:rsidR="002332D4" w:rsidRDefault="002332D4" w:rsidP="008B5757">
            <w:pPr>
              <w:pStyle w:val="ListParagraph"/>
              <w:ind w:left="0"/>
            </w:pPr>
          </w:p>
        </w:tc>
      </w:tr>
      <w:tr w:rsidR="00FB4D05" w:rsidTr="00694246">
        <w:trPr>
          <w:gridAfter w:val="1"/>
          <w:wAfter w:w="567" w:type="dxa"/>
        </w:trPr>
        <w:tc>
          <w:tcPr>
            <w:tcW w:w="9923" w:type="dxa"/>
            <w:gridSpan w:val="2"/>
          </w:tcPr>
          <w:p w:rsidR="00FB4D05" w:rsidRDefault="002332D4" w:rsidP="00200F77">
            <w:pPr>
              <w:pStyle w:val="ListParagraph"/>
              <w:ind w:left="0"/>
              <w:jc w:val="both"/>
              <w:rPr>
                <w:b/>
              </w:rPr>
            </w:pPr>
            <w:r w:rsidRPr="002332D4">
              <w:rPr>
                <w:b/>
              </w:rPr>
              <w:t>I have discussed organisational policy in regard of retention post qualifications – impact of non-completion of this learning and potential for organisation to seek return of funds in line with the Education and Training Policy and Learning Agreement Policy.  I agree to inform my line manager and the education provider of any issues impacting on my ability to complete the requirements of the learning programme e.g. sickness, changes in personal circumstances, fitness to practice issues at an early stage.</w:t>
            </w:r>
          </w:p>
          <w:p w:rsidR="002332D4" w:rsidRPr="002332D4" w:rsidRDefault="002332D4" w:rsidP="00200F77">
            <w:pPr>
              <w:pStyle w:val="ListParagraph"/>
              <w:ind w:left="0"/>
              <w:jc w:val="both"/>
              <w:rPr>
                <w:i/>
              </w:rPr>
            </w:pPr>
            <w:r w:rsidRPr="002332D4">
              <w:rPr>
                <w:i/>
              </w:rPr>
              <w:t>This allows for education providers e.g. universities and apprenticeship providers to offer early support and if necessary, in exceptional circumstances, course deferments.</w:t>
            </w:r>
          </w:p>
        </w:tc>
      </w:tr>
    </w:tbl>
    <w:p w:rsidR="002332D4" w:rsidRDefault="002332D4" w:rsidP="00200F77">
      <w:r>
        <w:t>I agree to the terms and conditions in this learning agreement and understand my requirements to attend all formal university study days and meeting assignment and assessment deadlines.</w:t>
      </w:r>
    </w:p>
    <w:p w:rsidR="002332D4" w:rsidRDefault="002332D4" w:rsidP="00200F77">
      <w:r>
        <w:t>I have discussed the management support and implications for service.</w:t>
      </w:r>
    </w:p>
    <w:tbl>
      <w:tblPr>
        <w:tblStyle w:val="TableGrid"/>
        <w:tblW w:w="0" w:type="auto"/>
        <w:tblInd w:w="108" w:type="dxa"/>
        <w:tblLook w:val="04A0" w:firstRow="1" w:lastRow="0" w:firstColumn="1" w:lastColumn="0" w:noHBand="0" w:noVBand="1"/>
      </w:tblPr>
      <w:tblGrid>
        <w:gridCol w:w="2127"/>
        <w:gridCol w:w="3543"/>
        <w:gridCol w:w="4253"/>
      </w:tblGrid>
      <w:tr w:rsidR="002332D4" w:rsidTr="00200F77">
        <w:tc>
          <w:tcPr>
            <w:tcW w:w="2127" w:type="dxa"/>
          </w:tcPr>
          <w:p w:rsidR="002332D4" w:rsidRDefault="002332D4" w:rsidP="008B5757">
            <w:pPr>
              <w:pStyle w:val="ListParagraph"/>
              <w:ind w:left="0"/>
            </w:pPr>
          </w:p>
        </w:tc>
        <w:tc>
          <w:tcPr>
            <w:tcW w:w="3543" w:type="dxa"/>
          </w:tcPr>
          <w:p w:rsidR="002332D4" w:rsidRDefault="002332D4" w:rsidP="008B5757">
            <w:pPr>
              <w:pStyle w:val="ListParagraph"/>
              <w:ind w:left="0"/>
            </w:pPr>
            <w:r>
              <w:t>Print Name</w:t>
            </w:r>
          </w:p>
        </w:tc>
        <w:tc>
          <w:tcPr>
            <w:tcW w:w="4253" w:type="dxa"/>
          </w:tcPr>
          <w:p w:rsidR="002332D4" w:rsidRDefault="002332D4" w:rsidP="008B5757">
            <w:pPr>
              <w:pStyle w:val="ListParagraph"/>
              <w:ind w:left="0"/>
            </w:pPr>
            <w:r>
              <w:t>Signature</w:t>
            </w:r>
          </w:p>
        </w:tc>
      </w:tr>
      <w:tr w:rsidR="002332D4" w:rsidTr="00200F77">
        <w:tc>
          <w:tcPr>
            <w:tcW w:w="2127" w:type="dxa"/>
          </w:tcPr>
          <w:p w:rsidR="002332D4" w:rsidRDefault="002332D4" w:rsidP="008B5757">
            <w:pPr>
              <w:pStyle w:val="ListParagraph"/>
              <w:ind w:left="0"/>
            </w:pPr>
            <w:r>
              <w:t>Learner</w:t>
            </w:r>
          </w:p>
        </w:tc>
        <w:tc>
          <w:tcPr>
            <w:tcW w:w="3543" w:type="dxa"/>
          </w:tcPr>
          <w:p w:rsidR="002332D4" w:rsidRDefault="002332D4" w:rsidP="008B5757">
            <w:pPr>
              <w:pStyle w:val="ListParagraph"/>
              <w:ind w:left="0"/>
            </w:pPr>
          </w:p>
        </w:tc>
        <w:tc>
          <w:tcPr>
            <w:tcW w:w="4253" w:type="dxa"/>
          </w:tcPr>
          <w:p w:rsidR="002332D4" w:rsidRDefault="002332D4" w:rsidP="008B5757">
            <w:pPr>
              <w:pStyle w:val="ListParagraph"/>
              <w:ind w:left="0"/>
            </w:pPr>
          </w:p>
        </w:tc>
      </w:tr>
      <w:tr w:rsidR="002332D4" w:rsidTr="00200F77">
        <w:tc>
          <w:tcPr>
            <w:tcW w:w="2127" w:type="dxa"/>
          </w:tcPr>
          <w:p w:rsidR="002332D4" w:rsidRDefault="002332D4" w:rsidP="008B5757">
            <w:pPr>
              <w:pStyle w:val="ListParagraph"/>
              <w:ind w:left="0"/>
            </w:pPr>
            <w:r>
              <w:t>Manager</w:t>
            </w:r>
          </w:p>
        </w:tc>
        <w:tc>
          <w:tcPr>
            <w:tcW w:w="3543" w:type="dxa"/>
          </w:tcPr>
          <w:p w:rsidR="002332D4" w:rsidRDefault="002332D4" w:rsidP="008B5757">
            <w:pPr>
              <w:pStyle w:val="ListParagraph"/>
              <w:ind w:left="0"/>
            </w:pPr>
          </w:p>
        </w:tc>
        <w:tc>
          <w:tcPr>
            <w:tcW w:w="4253" w:type="dxa"/>
          </w:tcPr>
          <w:p w:rsidR="002332D4" w:rsidRDefault="002332D4" w:rsidP="008B5757">
            <w:pPr>
              <w:pStyle w:val="ListParagraph"/>
              <w:ind w:left="0"/>
            </w:pPr>
          </w:p>
        </w:tc>
      </w:tr>
      <w:tr w:rsidR="002332D4" w:rsidTr="00200F77">
        <w:tc>
          <w:tcPr>
            <w:tcW w:w="2127" w:type="dxa"/>
          </w:tcPr>
          <w:p w:rsidR="002332D4" w:rsidRDefault="002332D4" w:rsidP="008B5757">
            <w:pPr>
              <w:pStyle w:val="ListParagraph"/>
              <w:ind w:left="0"/>
            </w:pPr>
            <w:r>
              <w:t>Head of Service</w:t>
            </w:r>
          </w:p>
        </w:tc>
        <w:tc>
          <w:tcPr>
            <w:tcW w:w="3543" w:type="dxa"/>
          </w:tcPr>
          <w:p w:rsidR="002332D4" w:rsidRDefault="002332D4" w:rsidP="008B5757">
            <w:pPr>
              <w:pStyle w:val="ListParagraph"/>
              <w:ind w:left="0"/>
            </w:pPr>
          </w:p>
        </w:tc>
        <w:tc>
          <w:tcPr>
            <w:tcW w:w="4253" w:type="dxa"/>
          </w:tcPr>
          <w:p w:rsidR="002332D4" w:rsidRDefault="002332D4" w:rsidP="008B5757">
            <w:pPr>
              <w:pStyle w:val="ListParagraph"/>
              <w:ind w:left="0"/>
            </w:pPr>
          </w:p>
        </w:tc>
      </w:tr>
      <w:tr w:rsidR="002332D4" w:rsidTr="00200F77">
        <w:tc>
          <w:tcPr>
            <w:tcW w:w="2127" w:type="dxa"/>
          </w:tcPr>
          <w:p w:rsidR="002332D4" w:rsidRDefault="002332D4" w:rsidP="008B5757">
            <w:pPr>
              <w:pStyle w:val="ListParagraph"/>
              <w:ind w:left="0"/>
            </w:pPr>
            <w:r>
              <w:t>Date</w:t>
            </w:r>
          </w:p>
        </w:tc>
        <w:tc>
          <w:tcPr>
            <w:tcW w:w="3543" w:type="dxa"/>
          </w:tcPr>
          <w:p w:rsidR="002332D4" w:rsidRDefault="002332D4" w:rsidP="008B5757">
            <w:pPr>
              <w:pStyle w:val="ListParagraph"/>
              <w:ind w:left="0"/>
            </w:pPr>
          </w:p>
        </w:tc>
        <w:tc>
          <w:tcPr>
            <w:tcW w:w="4253" w:type="dxa"/>
          </w:tcPr>
          <w:p w:rsidR="002332D4" w:rsidRDefault="002332D4" w:rsidP="008B5757">
            <w:pPr>
              <w:pStyle w:val="ListParagraph"/>
              <w:ind w:left="0"/>
            </w:pPr>
          </w:p>
        </w:tc>
      </w:tr>
    </w:tbl>
    <w:p w:rsidR="00507892" w:rsidRPr="00320C70" w:rsidRDefault="002332D4" w:rsidP="00200F77">
      <w:pPr>
        <w:rPr>
          <w:b/>
          <w:sz w:val="20"/>
          <w:szCs w:val="20"/>
        </w:rPr>
      </w:pPr>
      <w:r w:rsidRPr="00320C70">
        <w:rPr>
          <w:b/>
          <w:sz w:val="20"/>
          <w:szCs w:val="20"/>
        </w:rPr>
        <w:t>Copies of this form to be</w:t>
      </w:r>
      <w:r w:rsidR="00320C70">
        <w:rPr>
          <w:b/>
          <w:sz w:val="20"/>
          <w:szCs w:val="20"/>
        </w:rPr>
        <w:t xml:space="preserve"> retained by staff member and manager and</w:t>
      </w:r>
      <w:r w:rsidRPr="00320C70">
        <w:rPr>
          <w:b/>
          <w:sz w:val="20"/>
          <w:szCs w:val="20"/>
        </w:rPr>
        <w:t xml:space="preserve"> sent to Workforce Services to be added to the staff member</w:t>
      </w:r>
      <w:r w:rsidR="00200F77" w:rsidRPr="00320C70">
        <w:rPr>
          <w:b/>
          <w:sz w:val="20"/>
          <w:szCs w:val="20"/>
        </w:rPr>
        <w:t xml:space="preserve">’s </w:t>
      </w:r>
      <w:r w:rsidRPr="00320C70">
        <w:rPr>
          <w:b/>
          <w:sz w:val="20"/>
          <w:szCs w:val="20"/>
        </w:rPr>
        <w:t>personal file.</w:t>
      </w:r>
      <w:r w:rsidR="00200F77" w:rsidRPr="00320C70">
        <w:rPr>
          <w:b/>
          <w:sz w:val="20"/>
          <w:szCs w:val="20"/>
        </w:rPr>
        <w:t xml:space="preserve"> </w:t>
      </w:r>
    </w:p>
    <w:p w:rsidR="00DB54E6" w:rsidRPr="00DB54E6" w:rsidRDefault="002332D4" w:rsidP="00200F77">
      <w:pPr>
        <w:rPr>
          <w:color w:val="0000FF" w:themeColor="hyperlink"/>
          <w:sz w:val="20"/>
          <w:szCs w:val="20"/>
          <w:u w:val="single"/>
        </w:rPr>
      </w:pPr>
      <w:r w:rsidRPr="00200F77">
        <w:rPr>
          <w:sz w:val="20"/>
          <w:szCs w:val="20"/>
        </w:rPr>
        <w:t>Email:</w:t>
      </w:r>
      <w:r w:rsidR="00DB54E6">
        <w:rPr>
          <w:sz w:val="20"/>
          <w:szCs w:val="20"/>
        </w:rPr>
        <w:t xml:space="preserve"> </w:t>
      </w:r>
      <w:hyperlink r:id="rId8" w:history="1">
        <w:r w:rsidR="00320C70" w:rsidRPr="00745766">
          <w:rPr>
            <w:rStyle w:val="Hyperlink"/>
            <w:sz w:val="20"/>
            <w:szCs w:val="20"/>
          </w:rPr>
          <w:t>workforceservices@lincs-chs.nhs.uk</w:t>
        </w:r>
      </w:hyperlink>
      <w:bookmarkStart w:id="0" w:name="_GoBack"/>
      <w:bookmarkEnd w:id="0"/>
    </w:p>
    <w:sectPr w:rsidR="00DB54E6" w:rsidRPr="00DB54E6" w:rsidSect="00200F77">
      <w:headerReference w:type="default" r:id="rId9"/>
      <w:footerReference w:type="default" r:id="rId10"/>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EAD" w:rsidRDefault="00AE6EAD" w:rsidP="00AE6EAD">
      <w:pPr>
        <w:spacing w:after="0" w:line="240" w:lineRule="auto"/>
      </w:pPr>
      <w:r>
        <w:separator/>
      </w:r>
    </w:p>
  </w:endnote>
  <w:endnote w:type="continuationSeparator" w:id="0">
    <w:p w:rsidR="00AE6EAD" w:rsidRDefault="00AE6EAD" w:rsidP="00AE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EAD" w:rsidRPr="00DB54E6" w:rsidRDefault="00AE6EAD">
    <w:pPr>
      <w:pStyle w:val="Footer"/>
      <w:rPr>
        <w:sz w:val="18"/>
        <w:szCs w:val="18"/>
      </w:rPr>
    </w:pPr>
    <w:r w:rsidRPr="00DB54E6">
      <w:rPr>
        <w:sz w:val="18"/>
        <w:szCs w:val="18"/>
      </w:rPr>
      <w:t>Version 1</w:t>
    </w:r>
  </w:p>
  <w:p w:rsidR="00AE6EAD" w:rsidRPr="00DB54E6" w:rsidRDefault="00DB54E6">
    <w:pPr>
      <w:pStyle w:val="Footer"/>
      <w:rPr>
        <w:sz w:val="18"/>
        <w:szCs w:val="18"/>
      </w:rPr>
    </w:pPr>
    <w:r w:rsidRPr="00DB54E6">
      <w:rPr>
        <w:sz w:val="18"/>
        <w:szCs w:val="18"/>
      </w:rPr>
      <w:t>Created: December 20</w:t>
    </w:r>
    <w:r w:rsidR="00AE6EAD" w:rsidRPr="00DB54E6">
      <w:rPr>
        <w:sz w:val="18"/>
        <w:szCs w:val="18"/>
      </w:rPr>
      <w:t>18</w:t>
    </w:r>
  </w:p>
  <w:p w:rsidR="00DB54E6" w:rsidRPr="00DB54E6" w:rsidRDefault="00DB54E6">
    <w:pPr>
      <w:pStyle w:val="Footer"/>
      <w:rPr>
        <w:sz w:val="18"/>
        <w:szCs w:val="18"/>
      </w:rPr>
    </w:pPr>
    <w:r w:rsidRPr="00DB54E6">
      <w:rPr>
        <w:sz w:val="18"/>
        <w:szCs w:val="18"/>
      </w:rPr>
      <w:t>Review: December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EAD" w:rsidRDefault="00AE6EAD" w:rsidP="00AE6EAD">
      <w:pPr>
        <w:spacing w:after="0" w:line="240" w:lineRule="auto"/>
      </w:pPr>
      <w:r>
        <w:separator/>
      </w:r>
    </w:p>
  </w:footnote>
  <w:footnote w:type="continuationSeparator" w:id="0">
    <w:p w:rsidR="00AE6EAD" w:rsidRDefault="00AE6EAD" w:rsidP="00AE6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D79" w:rsidRDefault="00375D79" w:rsidP="00375D79">
    <w:pPr>
      <w:pStyle w:val="Header"/>
      <w:jc w:val="right"/>
    </w:pPr>
    <w:r>
      <w:rPr>
        <w:noProof/>
        <w:lang w:eastAsia="en-GB"/>
      </w:rPr>
      <w:drawing>
        <wp:inline distT="0" distB="0" distL="0" distR="0">
          <wp:extent cx="1607820" cy="423111"/>
          <wp:effectExtent l="0" t="0" r="0" b="0"/>
          <wp:docPr id="1" name="Picture 1" descr="J:\2018-2019\Secure (LCHS)\Education and Training\Team Folder\LC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018-2019\Secure (LCHS)\Education and Training\Team Folder\LCH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4231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74C44"/>
    <w:multiLevelType w:val="hybridMultilevel"/>
    <w:tmpl w:val="2D7A22B6"/>
    <w:lvl w:ilvl="0" w:tplc="3A6462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84"/>
    <w:rsid w:val="00025EDC"/>
    <w:rsid w:val="00031D6B"/>
    <w:rsid w:val="00040705"/>
    <w:rsid w:val="001F7344"/>
    <w:rsid w:val="00200F77"/>
    <w:rsid w:val="002332D4"/>
    <w:rsid w:val="00320C70"/>
    <w:rsid w:val="00375D79"/>
    <w:rsid w:val="004C527D"/>
    <w:rsid w:val="00507892"/>
    <w:rsid w:val="00694246"/>
    <w:rsid w:val="006E4602"/>
    <w:rsid w:val="006F26F6"/>
    <w:rsid w:val="008B5757"/>
    <w:rsid w:val="00991084"/>
    <w:rsid w:val="00AE6EAD"/>
    <w:rsid w:val="00DB54E6"/>
    <w:rsid w:val="00E87891"/>
    <w:rsid w:val="00FA25D2"/>
    <w:rsid w:val="00FB4D05"/>
    <w:rsid w:val="00FE7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084"/>
    <w:pPr>
      <w:ind w:left="720"/>
      <w:contextualSpacing/>
    </w:pPr>
  </w:style>
  <w:style w:type="paragraph" w:styleId="BalloonText">
    <w:name w:val="Balloon Text"/>
    <w:basedOn w:val="Normal"/>
    <w:link w:val="BalloonTextChar"/>
    <w:uiPriority w:val="99"/>
    <w:semiHidden/>
    <w:unhideWhenUsed/>
    <w:rsid w:val="00FB4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D05"/>
    <w:rPr>
      <w:rFonts w:ascii="Tahoma" w:hAnsi="Tahoma" w:cs="Tahoma"/>
      <w:sz w:val="16"/>
      <w:szCs w:val="16"/>
    </w:rPr>
  </w:style>
  <w:style w:type="table" w:styleId="TableGrid">
    <w:name w:val="Table Grid"/>
    <w:basedOn w:val="TableNormal"/>
    <w:uiPriority w:val="59"/>
    <w:rsid w:val="00FB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32D4"/>
    <w:rPr>
      <w:color w:val="0000FF" w:themeColor="hyperlink"/>
      <w:u w:val="single"/>
    </w:rPr>
  </w:style>
  <w:style w:type="paragraph" w:styleId="Header">
    <w:name w:val="header"/>
    <w:basedOn w:val="Normal"/>
    <w:link w:val="HeaderChar"/>
    <w:uiPriority w:val="99"/>
    <w:unhideWhenUsed/>
    <w:rsid w:val="00AE6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EAD"/>
  </w:style>
  <w:style w:type="paragraph" w:styleId="Footer">
    <w:name w:val="footer"/>
    <w:basedOn w:val="Normal"/>
    <w:link w:val="FooterChar"/>
    <w:uiPriority w:val="99"/>
    <w:unhideWhenUsed/>
    <w:rsid w:val="00AE6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084"/>
    <w:pPr>
      <w:ind w:left="720"/>
      <w:contextualSpacing/>
    </w:pPr>
  </w:style>
  <w:style w:type="paragraph" w:styleId="BalloonText">
    <w:name w:val="Balloon Text"/>
    <w:basedOn w:val="Normal"/>
    <w:link w:val="BalloonTextChar"/>
    <w:uiPriority w:val="99"/>
    <w:semiHidden/>
    <w:unhideWhenUsed/>
    <w:rsid w:val="00FB4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D05"/>
    <w:rPr>
      <w:rFonts w:ascii="Tahoma" w:hAnsi="Tahoma" w:cs="Tahoma"/>
      <w:sz w:val="16"/>
      <w:szCs w:val="16"/>
    </w:rPr>
  </w:style>
  <w:style w:type="table" w:styleId="TableGrid">
    <w:name w:val="Table Grid"/>
    <w:basedOn w:val="TableNormal"/>
    <w:uiPriority w:val="59"/>
    <w:rsid w:val="00FB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32D4"/>
    <w:rPr>
      <w:color w:val="0000FF" w:themeColor="hyperlink"/>
      <w:u w:val="single"/>
    </w:rPr>
  </w:style>
  <w:style w:type="paragraph" w:styleId="Header">
    <w:name w:val="header"/>
    <w:basedOn w:val="Normal"/>
    <w:link w:val="HeaderChar"/>
    <w:uiPriority w:val="99"/>
    <w:unhideWhenUsed/>
    <w:rsid w:val="00AE6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EAD"/>
  </w:style>
  <w:style w:type="paragraph" w:styleId="Footer">
    <w:name w:val="footer"/>
    <w:basedOn w:val="Normal"/>
    <w:link w:val="FooterChar"/>
    <w:uiPriority w:val="99"/>
    <w:unhideWhenUsed/>
    <w:rsid w:val="00AE6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forceservices@lincs-chs.nhs.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Angela (LCHS)</dc:creator>
  <cp:lastModifiedBy>Bradley Angela (LCHS)</cp:lastModifiedBy>
  <cp:revision>4</cp:revision>
  <dcterms:created xsi:type="dcterms:W3CDTF">2018-12-06T14:27:00Z</dcterms:created>
  <dcterms:modified xsi:type="dcterms:W3CDTF">2019-04-09T11:40:00Z</dcterms:modified>
</cp:coreProperties>
</file>